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D" w:rsidRPr="0040473D" w:rsidRDefault="008F454D" w:rsidP="0040473D">
      <w:r>
        <w:t>Pen profile</w:t>
      </w:r>
      <w:r w:rsidR="0040473D" w:rsidRPr="0040473D">
        <w:t>:</w:t>
      </w:r>
    </w:p>
    <w:p w:rsidR="007D46FE" w:rsidRDefault="00642EED" w:rsidP="0040473D">
      <w:r w:rsidRPr="007105AD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857885" cy="1142365"/>
            <wp:effectExtent l="25400" t="0" r="5715" b="0"/>
            <wp:wrapTight wrapText="bothSides">
              <wp:wrapPolygon edited="0">
                <wp:start x="-640" y="0"/>
                <wp:lineTo x="-640" y="21132"/>
                <wp:lineTo x="21744" y="21132"/>
                <wp:lineTo x="21744" y="0"/>
                <wp:lineTo x="-640" y="0"/>
              </wp:wrapPolygon>
            </wp:wrapTight>
            <wp:docPr id="1" name="Picture 1" descr="_MG_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MG_20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05AD">
        <w:rPr>
          <w:b/>
          <w:noProof/>
        </w:rPr>
        <w:t>Stephen Stec</w:t>
      </w:r>
      <w:r w:rsidRPr="007D46FE">
        <w:rPr>
          <w:noProof/>
        </w:rPr>
        <w:t>, J.D., M.Phil.,</w:t>
      </w:r>
      <w:r w:rsidRPr="007105AD">
        <w:rPr>
          <w:b/>
        </w:rPr>
        <w:t xml:space="preserve"> </w:t>
      </w:r>
      <w:r w:rsidRPr="007105AD">
        <w:t xml:space="preserve">is adjunct professor in the Department of Environmental Sciences and Policy </w:t>
      </w:r>
      <w:r w:rsidR="00F65E0B">
        <w:t>at</w:t>
      </w:r>
      <w:r w:rsidRPr="007105AD">
        <w:t xml:space="preserve"> Central European University, and Associate Scholar at the Institute of East European Law and Russian Studies of Leiden University.   </w:t>
      </w:r>
      <w:r w:rsidR="007D46FE" w:rsidRPr="00642EED">
        <w:t xml:space="preserve">He has taught as an adjunct or visiting professor at Monterey Institute of International Studies, </w:t>
      </w:r>
      <w:r w:rsidR="007D46FE">
        <w:t xml:space="preserve">Ocean University of China, </w:t>
      </w:r>
      <w:r w:rsidR="007D46FE" w:rsidRPr="00642EED">
        <w:t xml:space="preserve">Venice International University, KIMEP University and </w:t>
      </w:r>
      <w:proofErr w:type="spellStart"/>
      <w:r w:rsidR="007D46FE" w:rsidRPr="00642EED">
        <w:t>Ecole</w:t>
      </w:r>
      <w:proofErr w:type="spellEnd"/>
      <w:r w:rsidR="007D46FE" w:rsidRPr="00642EED">
        <w:t xml:space="preserve"> </w:t>
      </w:r>
      <w:proofErr w:type="spellStart"/>
      <w:r w:rsidR="007D46FE" w:rsidRPr="00642EED">
        <w:t>Superieur</w:t>
      </w:r>
      <w:proofErr w:type="spellEnd"/>
      <w:r w:rsidR="007D46FE" w:rsidRPr="00642EED">
        <w:t xml:space="preserve"> de Commerce et de Management (Poitiers), and was a visiting scholar at </w:t>
      </w:r>
      <w:r w:rsidR="001230DD">
        <w:t xml:space="preserve">Utrecht University, </w:t>
      </w:r>
      <w:r w:rsidR="007D46FE" w:rsidRPr="00642EED">
        <w:t>University of Toronto, Middlebury College</w:t>
      </w:r>
      <w:r w:rsidR="007D46FE">
        <w:t xml:space="preserve"> and University of Saskatchewan</w:t>
      </w:r>
      <w:r w:rsidR="007D46FE" w:rsidRPr="00642EED">
        <w:t xml:space="preserve">.  </w:t>
      </w:r>
      <w:r w:rsidR="007D46FE">
        <w:t xml:space="preserve">In October 2016 he will be a Visiting Associate Professor at Osaka University.  </w:t>
      </w:r>
      <w:r w:rsidRPr="007105AD">
        <w:t xml:space="preserve">A lawyer by profession, he is an active Member of the Bar of Maryland.  </w:t>
      </w:r>
      <w:r w:rsidR="00F65E0B" w:rsidRPr="00642EED">
        <w:t xml:space="preserve">From 1998 to 2008 he was Senior Legal Specialist and Head of the Environmental Law Program of the Regional Environmental Center </w:t>
      </w:r>
      <w:r w:rsidR="00F65E0B">
        <w:t xml:space="preserve">for Central and Eastern Europe, from where he </w:t>
      </w:r>
      <w:r w:rsidR="00F65E0B" w:rsidRPr="00642EED">
        <w:t xml:space="preserve">served on the Managing Board of the Environment and Security Initiative </w:t>
      </w:r>
      <w:r w:rsidR="00E132AB">
        <w:t>during</w:t>
      </w:r>
      <w:r w:rsidR="00F65E0B" w:rsidRPr="00642EED">
        <w:t xml:space="preserve"> 2006-2008.  </w:t>
      </w:r>
      <w:r w:rsidR="001230DD">
        <w:t>He was the first regional legal specialist of the American Bar Association CEELI Program, participated and advised in the negotiations of the Aarhus Convention in 1996-98, and helped to achieve environmental cooperation across entities in Bosnia-Herzegovina in 1998.  In the 2000s he supported the establishment of the International Sava River Basin Commission and developed a set of governance principles on foreign direct investment in hazardous activities.  For several years he has worked with the Secretariat of the UNECE Water Convention on multi-level, multi-</w:t>
      </w:r>
      <w:proofErr w:type="spellStart"/>
      <w:r w:rsidR="001230DD">
        <w:t>sectoral</w:t>
      </w:r>
      <w:proofErr w:type="spellEnd"/>
      <w:r w:rsidR="001230DD">
        <w:t xml:space="preserve"> governance analyses for “Nexus” assessment. He was recently course facilitator for </w:t>
      </w:r>
      <w:proofErr w:type="spellStart"/>
      <w:r w:rsidR="001230DD">
        <w:t>UNITAR’s</w:t>
      </w:r>
      <w:proofErr w:type="spellEnd"/>
      <w:r w:rsidR="001230DD">
        <w:t xml:space="preserve"> first-ever course on Human Rights and the Environment.  </w:t>
      </w:r>
      <w:r w:rsidR="00466EA5">
        <w:t xml:space="preserve">Mr. </w:t>
      </w:r>
      <w:proofErr w:type="spellStart"/>
      <w:r w:rsidR="00466EA5">
        <w:t>Stec</w:t>
      </w:r>
      <w:proofErr w:type="spellEnd"/>
      <w:r w:rsidR="0068781C">
        <w:t xml:space="preserve"> regularly publishes</w:t>
      </w:r>
      <w:r w:rsidR="0068781C" w:rsidRPr="00642EED">
        <w:t xml:space="preserve"> </w:t>
      </w:r>
      <w:r w:rsidR="0068781C">
        <w:t xml:space="preserve">in the fields of human rights and sustainable development, water governance, and corporate accountability.  </w:t>
      </w:r>
      <w:r w:rsidRPr="00642EED">
        <w:t xml:space="preserve">His </w:t>
      </w:r>
      <w:r w:rsidR="007D46FE">
        <w:t xml:space="preserve">most recent book is </w:t>
      </w:r>
      <w:r w:rsidR="007D46FE">
        <w:rPr>
          <w:i/>
        </w:rPr>
        <w:t xml:space="preserve">Putting Rio Principle 10 Into Action: A Guide to the UNEP Bali Guidelines on Rio Principle 10 </w:t>
      </w:r>
      <w:r w:rsidR="007D46FE">
        <w:t>(UNEP, 2015)</w:t>
      </w:r>
      <w:r w:rsidR="007D46FE">
        <w:rPr>
          <w:i/>
        </w:rPr>
        <w:t xml:space="preserve">, </w:t>
      </w:r>
      <w:r w:rsidR="007D46FE">
        <w:t>available in English and Spanish</w:t>
      </w:r>
      <w:r w:rsidR="007D46FE">
        <w:rPr>
          <w:i/>
        </w:rPr>
        <w:t xml:space="preserve">.  </w:t>
      </w:r>
      <w:r w:rsidR="007D46FE">
        <w:t>He also co-authored</w:t>
      </w:r>
      <w:r w:rsidRPr="00642EED">
        <w:t xml:space="preserve"> the first and second editions of </w:t>
      </w:r>
      <w:r w:rsidRPr="007D46FE">
        <w:rPr>
          <w:i/>
        </w:rPr>
        <w:t>The Aarhus Convention: An Implementation Guide</w:t>
      </w:r>
      <w:r w:rsidRPr="00642EED">
        <w:t xml:space="preserve"> (</w:t>
      </w:r>
      <w:r w:rsidR="007D46FE">
        <w:t xml:space="preserve">UN: 2000 and 2013), and </w:t>
      </w:r>
      <w:r w:rsidRPr="00642EED">
        <w:t xml:space="preserve">was co-editor of </w:t>
      </w:r>
      <w:r w:rsidRPr="007D46FE">
        <w:rPr>
          <w:i/>
        </w:rPr>
        <w:t>Energy and Environmental Challenges to Security</w:t>
      </w:r>
      <w:r w:rsidR="007D46FE">
        <w:t xml:space="preserve"> (Springer: 2009).  He has contributed to chapters in:</w:t>
      </w:r>
      <w:r w:rsidR="00E132AB">
        <w:t xml:space="preserve"> </w:t>
      </w:r>
      <w:r w:rsidR="00E132AB">
        <w:rPr>
          <w:i/>
        </w:rPr>
        <w:t>Corporate Responsibility and Sustainable Development: Exploring the Nexus of Private and Public Interests</w:t>
      </w:r>
      <w:r w:rsidR="00E132AB" w:rsidRPr="004C3454">
        <w:t xml:space="preserve"> </w:t>
      </w:r>
      <w:r w:rsidR="00E132AB">
        <w:t>(</w:t>
      </w:r>
      <w:proofErr w:type="spellStart"/>
      <w:r w:rsidR="00E132AB">
        <w:t>Routledge</w:t>
      </w:r>
      <w:proofErr w:type="spellEnd"/>
      <w:r w:rsidR="00E132AB">
        <w:t>: 2016</w:t>
      </w:r>
      <w:r w:rsidR="00E132AB" w:rsidRPr="004C3454">
        <w:t>)</w:t>
      </w:r>
      <w:r w:rsidR="00E132AB">
        <w:t xml:space="preserve">; </w:t>
      </w:r>
      <w:r w:rsidRPr="00E132AB">
        <w:rPr>
          <w:i/>
        </w:rPr>
        <w:t xml:space="preserve">Water and Post-Conflict </w:t>
      </w:r>
      <w:proofErr w:type="spellStart"/>
      <w:r w:rsidRPr="00E132AB">
        <w:rPr>
          <w:i/>
        </w:rPr>
        <w:t>Peacebuilding</w:t>
      </w:r>
      <w:proofErr w:type="spellEnd"/>
      <w:r w:rsidRPr="00642EED">
        <w:t xml:space="preserve"> (Taylor: 2014); </w:t>
      </w:r>
      <w:r w:rsidRPr="00E132AB">
        <w:rPr>
          <w:i/>
        </w:rPr>
        <w:t>The Aarhus Convention at Ten: Interactions and Tensions Between Conventional International Law and EU Environmental Law</w:t>
      </w:r>
      <w:r w:rsidRPr="00642EED">
        <w:t xml:space="preserve"> (</w:t>
      </w:r>
      <w:proofErr w:type="spellStart"/>
      <w:r w:rsidRPr="00642EED">
        <w:t>Europa</w:t>
      </w:r>
      <w:proofErr w:type="spellEnd"/>
      <w:r w:rsidRPr="00642EED">
        <w:t xml:space="preserve">: 2011); </w:t>
      </w:r>
      <w:r w:rsidRPr="00E132AB">
        <w:rPr>
          <w:i/>
        </w:rPr>
        <w:t>Environmental Law and Justice in Context</w:t>
      </w:r>
      <w:r w:rsidRPr="00642EED">
        <w:t xml:space="preserve"> (Cambridge U. Press: 2009); and </w:t>
      </w:r>
      <w:r w:rsidRPr="00E132AB">
        <w:rPr>
          <w:i/>
        </w:rPr>
        <w:t>Multilevel Institutions of Global Environmental Change</w:t>
      </w:r>
      <w:r w:rsidRPr="00642EED">
        <w:t xml:space="preserve"> (Cambridge U. Press: 2006).  </w:t>
      </w:r>
      <w:r w:rsidR="00E132AB">
        <w:t xml:space="preserve">His consulting clients have included UNEP, UNECE, UNITAR, OSCE, OECD, the European Commission, World Resources Institute and the government of Kazakhstan. </w:t>
      </w:r>
      <w:r w:rsidR="0068781C">
        <w:t xml:space="preserve">He has a side interest in research and publication on the history of the Greater Chesapeake region.  </w:t>
      </w:r>
      <w:r w:rsidR="007D46FE">
        <w:t xml:space="preserve">Mr. </w:t>
      </w:r>
      <w:proofErr w:type="spellStart"/>
      <w:r w:rsidR="007D46FE">
        <w:t>Stec</w:t>
      </w:r>
      <w:proofErr w:type="spellEnd"/>
      <w:r w:rsidR="007D46FE">
        <w:t xml:space="preserve"> </w:t>
      </w:r>
      <w:r w:rsidR="007D46FE" w:rsidRPr="00642EED">
        <w:t xml:space="preserve">is a member of the Commission on Environmental Law of the World Conservation Union, an elected member of the International </w:t>
      </w:r>
      <w:r w:rsidR="007D46FE">
        <w:t>Council of Environmental Law</w:t>
      </w:r>
      <w:r w:rsidR="007D46FE" w:rsidRPr="0040473D">
        <w:t xml:space="preserve">, and </w:t>
      </w:r>
      <w:r w:rsidR="0068781C">
        <w:t>has served</w:t>
      </w:r>
      <w:r w:rsidR="007D46FE" w:rsidRPr="0040473D">
        <w:t xml:space="preserve"> on the editorial </w:t>
      </w:r>
      <w:r w:rsidR="007D46FE">
        <w:t xml:space="preserve">advisory </w:t>
      </w:r>
      <w:r w:rsidR="007D46FE" w:rsidRPr="0040473D">
        <w:t>board of the </w:t>
      </w:r>
      <w:r w:rsidR="007D46FE" w:rsidRPr="00642EED">
        <w:rPr>
          <w:i/>
        </w:rPr>
        <w:t>European Energy and Environmental Law Review</w:t>
      </w:r>
      <w:r w:rsidR="007D46FE" w:rsidRPr="0040473D">
        <w:t xml:space="preserve">. </w:t>
      </w:r>
      <w:r w:rsidR="007D46FE">
        <w:t xml:space="preserve"> </w:t>
      </w:r>
      <w:r w:rsidRPr="00642EED">
        <w:t>He is a 2007 co-recipient of the Rule of Law Award.</w:t>
      </w:r>
    </w:p>
    <w:sectPr w:rsidR="007D46FE" w:rsidSect="007D46F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473D"/>
    <w:rsid w:val="001230DD"/>
    <w:rsid w:val="00126EA6"/>
    <w:rsid w:val="00156B57"/>
    <w:rsid w:val="00180BC3"/>
    <w:rsid w:val="001C7CB3"/>
    <w:rsid w:val="001E7530"/>
    <w:rsid w:val="0040473D"/>
    <w:rsid w:val="00466EA5"/>
    <w:rsid w:val="004C7FC5"/>
    <w:rsid w:val="00533395"/>
    <w:rsid w:val="00642EED"/>
    <w:rsid w:val="00656876"/>
    <w:rsid w:val="0068781C"/>
    <w:rsid w:val="006C4ACB"/>
    <w:rsid w:val="006F5A6C"/>
    <w:rsid w:val="00773EDF"/>
    <w:rsid w:val="007B0F5A"/>
    <w:rsid w:val="007D46FE"/>
    <w:rsid w:val="008F454D"/>
    <w:rsid w:val="00950030"/>
    <w:rsid w:val="00A02CE3"/>
    <w:rsid w:val="00AB14A6"/>
    <w:rsid w:val="00C274A6"/>
    <w:rsid w:val="00C81652"/>
    <w:rsid w:val="00CB55C4"/>
    <w:rsid w:val="00CE7578"/>
    <w:rsid w:val="00E132AB"/>
    <w:rsid w:val="00E55E60"/>
    <w:rsid w:val="00F65E0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526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266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A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266D7"/>
    <w:rPr>
      <w:rFonts w:ascii="Lucida Grande" w:hAnsi="Lucida Grande"/>
      <w:sz w:val="18"/>
      <w:szCs w:val="18"/>
    </w:rPr>
  </w:style>
  <w:style w:type="paragraph" w:customStyle="1" w:styleId="Reference">
    <w:name w:val="Reference"/>
    <w:basedOn w:val="Normal"/>
    <w:rsid w:val="00642EED"/>
    <w:pPr>
      <w:tabs>
        <w:tab w:val="left" w:pos="340"/>
        <w:tab w:val="left" w:pos="1418"/>
        <w:tab w:val="left" w:pos="2268"/>
        <w:tab w:val="left" w:pos="3119"/>
        <w:tab w:val="left" w:pos="3969"/>
        <w:tab w:val="left" w:pos="4820"/>
        <w:tab w:val="left" w:pos="5670"/>
        <w:tab w:val="left" w:pos="6521"/>
        <w:tab w:val="left" w:pos="7938"/>
      </w:tabs>
      <w:spacing w:after="60" w:line="264" w:lineRule="auto"/>
      <w:ind w:left="340" w:hanging="340"/>
    </w:pPr>
    <w:rPr>
      <w:rFonts w:ascii="Times New Roman" w:eastAsia="Times New Roman" w:hAnsi="Times New Roman" w:cs="Times New Roman"/>
      <w:sz w:val="21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484</Words>
  <Characters>2759</Characters>
  <Application>Microsoft Macintosh Word</Application>
  <DocSecurity>0</DocSecurity>
  <Lines>22</Lines>
  <Paragraphs>5</Paragraphs>
  <ScaleCrop>false</ScaleCrop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Stec</dc:creator>
  <cp:keywords/>
  <cp:lastModifiedBy>Stephen Stec</cp:lastModifiedBy>
  <cp:revision>5</cp:revision>
  <dcterms:created xsi:type="dcterms:W3CDTF">2016-08-25T12:13:00Z</dcterms:created>
  <dcterms:modified xsi:type="dcterms:W3CDTF">2016-08-25T14:02:00Z</dcterms:modified>
</cp:coreProperties>
</file>